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05 марта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Симбаев Арыстан Торежанович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07.02.1994 г.р., паспорт 5214 394564, выдан ТП УФМС России по Омской области в Шербакульском районе, 18.12.2014 г., зарегистрирован по адресу: г. Омск, ул. 12 Декабря, д. 56, кв. 29,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_____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05.03.2026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136, 6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Леонида Маслова, № 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Симбаев Арыстан Торежанович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А.Т. Симбаев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